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56A7" w14:textId="683DE194" w:rsidR="000158AA" w:rsidRPr="00FF2949" w:rsidRDefault="00BD6102" w:rsidP="00B24402">
      <w:pPr>
        <w:spacing w:before="240" w:after="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01D8FFE4" wp14:editId="560E0D77">
            <wp:simplePos x="0" y="0"/>
            <wp:positionH relativeFrom="margin">
              <wp:posOffset>4927600</wp:posOffset>
            </wp:positionH>
            <wp:positionV relativeFrom="paragraph">
              <wp:posOffset>-527050</wp:posOffset>
            </wp:positionV>
            <wp:extent cx="2160405" cy="618739"/>
            <wp:effectExtent l="0" t="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5" cy="61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AA" w:rsidRPr="00FF2949">
        <w:rPr>
          <w:b/>
          <w:bCs/>
          <w:color w:val="0000FF"/>
          <w:w w:val="110"/>
          <w:sz w:val="40"/>
          <w:szCs w:val="40"/>
        </w:rPr>
        <w:t>PROGRAM NAME</w:t>
      </w:r>
    </w:p>
    <w:p w14:paraId="6C744834" w14:textId="7D8F702D" w:rsidR="0042162D" w:rsidRPr="00FF2949" w:rsidRDefault="000158AA" w:rsidP="000158AA">
      <w:pPr>
        <w:spacing w:after="0"/>
        <w:jc w:val="center"/>
        <w:rPr>
          <w:color w:val="0000CC"/>
          <w:w w:val="110"/>
          <w:sz w:val="28"/>
          <w:szCs w:val="28"/>
        </w:rPr>
      </w:pPr>
      <w:r w:rsidRPr="00FF2949">
        <w:rPr>
          <w:color w:val="0000CC"/>
          <w:w w:val="110"/>
          <w:sz w:val="28"/>
          <w:szCs w:val="28"/>
        </w:rPr>
        <w:t>Advisory Board</w:t>
      </w:r>
    </w:p>
    <w:p w14:paraId="430B37F5" w14:textId="67C3A250" w:rsidR="000158AA" w:rsidRPr="00FF2949" w:rsidRDefault="000158AA" w:rsidP="00B24402">
      <w:pPr>
        <w:spacing w:after="120"/>
        <w:jc w:val="center"/>
        <w:rPr>
          <w:color w:val="0000CC"/>
          <w:w w:val="110"/>
          <w:sz w:val="24"/>
          <w:szCs w:val="24"/>
        </w:rPr>
      </w:pPr>
      <w:r w:rsidRPr="00FF2949">
        <w:rPr>
          <w:color w:val="0000CC"/>
          <w:w w:val="110"/>
          <w:sz w:val="24"/>
          <w:szCs w:val="24"/>
        </w:rPr>
        <w:t>Membership</w:t>
      </w:r>
      <w:r w:rsidR="00B24402" w:rsidRPr="00FF2949">
        <w:rPr>
          <w:color w:val="0000CC"/>
          <w:w w:val="110"/>
          <w:sz w:val="24"/>
          <w:szCs w:val="24"/>
        </w:rPr>
        <w:t xml:space="preserve"> Agreement</w:t>
      </w:r>
      <w:r w:rsidRPr="00FF2949">
        <w:rPr>
          <w:color w:val="0000CC"/>
          <w:w w:val="110"/>
          <w:sz w:val="24"/>
          <w:szCs w:val="24"/>
        </w:rPr>
        <w:t xml:space="preserve"> &amp; Scheduling Organizer</w:t>
      </w:r>
    </w:p>
    <w:p w14:paraId="74B0BB1B" w14:textId="05A94B95" w:rsidR="000158AA" w:rsidRPr="00FF2949" w:rsidRDefault="000158AA" w:rsidP="00652394">
      <w:pPr>
        <w:spacing w:after="40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b/>
          <w:bCs/>
          <w:color w:val="0000CC"/>
          <w:w w:val="110"/>
          <w:sz w:val="28"/>
          <w:szCs w:val="28"/>
        </w:rPr>
        <w:t>Program Year 20</w:t>
      </w:r>
      <w:r w:rsidR="00A0359B">
        <w:rPr>
          <w:b/>
          <w:bCs/>
          <w:color w:val="0000CC"/>
          <w:w w:val="110"/>
          <w:sz w:val="28"/>
          <w:szCs w:val="28"/>
        </w:rPr>
        <w:t>24-2025</w:t>
      </w:r>
      <w:bookmarkStart w:id="0" w:name="_GoBack"/>
      <w:bookmarkEnd w:id="0"/>
    </w:p>
    <w:tbl>
      <w:tblPr>
        <w:tblStyle w:val="TableGrid"/>
        <w:tblW w:w="8910" w:type="dxa"/>
        <w:jc w:val="center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single" w:sz="12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035"/>
      </w:tblGrid>
      <w:tr w:rsidR="00E75327" w:rsidRPr="009B51CC" w14:paraId="6ECAD884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1326D90" w14:textId="1E7586FF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Advisory Board Chairperson(s)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3F3BA8E3" w14:textId="1DC897D1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1B1144" w:rsidRPr="009B51CC" w14:paraId="3FD0CDEC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4300E9D" w14:textId="6AB86039" w:rsidR="001B1144" w:rsidRPr="00F17C15" w:rsidRDefault="001B114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Number of Board Members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4475ED74" w14:textId="529DCB40" w:rsidR="002D20C2" w:rsidRDefault="001B1144" w:rsidP="002D20C2">
            <w:pPr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Total:</w:t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>Voting:</w:t>
            </w:r>
            <w:r w:rsidR="00864EC6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</w:p>
          <w:p w14:paraId="32AD5CE0" w14:textId="6A04BB99" w:rsidR="001B1144" w:rsidRPr="001B1144" w:rsidRDefault="002D20C2" w:rsidP="002D20C2">
            <w:pPr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  <w:t xml:space="preserve">      </w:t>
            </w:r>
            <w:r w:rsidR="001B1144">
              <w:rPr>
                <w:color w:val="44546A" w:themeColor="text2"/>
                <w:w w:val="110"/>
                <w:sz w:val="20"/>
                <w:szCs w:val="20"/>
              </w:rPr>
              <w:t>Nonvoting:</w:t>
            </w:r>
            <w:r w:rsidR="00864EC6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</w:p>
        </w:tc>
      </w:tr>
      <w:tr w:rsidR="001B1144" w:rsidRPr="009B51CC" w14:paraId="2BAB1D04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529067CA" w14:textId="13DCC0FC" w:rsidR="001B1144" w:rsidRPr="00F17C15" w:rsidRDefault="001B114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Scheduled Meeting Dates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08EA9D8F" w14:textId="77777777" w:rsidR="001B1144" w:rsidRDefault="001B1144" w:rsidP="00E75327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</w:tr>
      <w:tr w:rsidR="00E75327" w:rsidRPr="009B51CC" w14:paraId="6A929381" w14:textId="77777777" w:rsidTr="00652394">
        <w:trPr>
          <w:jc w:val="center"/>
        </w:trPr>
        <w:tc>
          <w:tcPr>
            <w:tcW w:w="2875" w:type="dxa"/>
            <w:shd w:val="clear" w:color="auto" w:fill="E7E6E6" w:themeFill="background2"/>
          </w:tcPr>
          <w:p w14:paraId="09023B4A" w14:textId="3335A77F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Location/Virtual Meeting Info</w:t>
            </w:r>
          </w:p>
        </w:tc>
        <w:tc>
          <w:tcPr>
            <w:tcW w:w="6035" w:type="dxa"/>
            <w:vAlign w:val="center"/>
          </w:tcPr>
          <w:p w14:paraId="3A9112FF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31FD44FC" w14:textId="77777777" w:rsidTr="00652394">
        <w:trPr>
          <w:jc w:val="center"/>
        </w:trPr>
        <w:tc>
          <w:tcPr>
            <w:tcW w:w="2875" w:type="dxa"/>
            <w:shd w:val="clear" w:color="auto" w:fill="E7E6E6" w:themeFill="background2"/>
          </w:tcPr>
          <w:p w14:paraId="1431B806" w14:textId="7C7894DB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Link to Past Agendas &amp; Minutes</w:t>
            </w:r>
          </w:p>
        </w:tc>
        <w:tc>
          <w:tcPr>
            <w:tcW w:w="6035" w:type="dxa"/>
            <w:vAlign w:val="center"/>
          </w:tcPr>
          <w:p w14:paraId="4B8E6D20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768E8656" w14:textId="31F6C921" w:rsidR="00D7721A" w:rsidRDefault="00A75E21" w:rsidP="00A75E21">
      <w:pPr>
        <w:spacing w:after="0"/>
        <w:rPr>
          <w:color w:val="0000CC"/>
          <w:w w:val="110"/>
          <w:sz w:val="24"/>
          <w:szCs w:val="24"/>
        </w:rPr>
      </w:pPr>
      <w:r>
        <w:rPr>
          <w:color w:val="44546A" w:themeColor="text2"/>
          <w:w w:val="110"/>
          <w:sz w:val="20"/>
          <w:szCs w:val="20"/>
        </w:rPr>
        <w:tab/>
      </w:r>
    </w:p>
    <w:p w14:paraId="37193BEB" w14:textId="5E1C6948" w:rsidR="001B1144" w:rsidRPr="00D7721A" w:rsidRDefault="001B1144" w:rsidP="00F17C15">
      <w:pPr>
        <w:spacing w:after="0"/>
        <w:jc w:val="center"/>
        <w:rPr>
          <w:color w:val="0000CC"/>
          <w:w w:val="110"/>
          <w:sz w:val="24"/>
          <w:szCs w:val="24"/>
        </w:rPr>
      </w:pPr>
      <w:r w:rsidRPr="00E03090">
        <w:rPr>
          <w:rFonts w:ascii="Avenir Next LT Pro" w:hAnsi="Avenir Next LT Pro"/>
          <w:b/>
          <w:bCs/>
          <w:color w:val="44546A" w:themeColor="text2"/>
          <w:spacing w:val="20"/>
          <w:sz w:val="24"/>
          <w:szCs w:val="24"/>
        </w:rPr>
        <w:t>ACTIVE MEMBER ROSTER</w:t>
      </w:r>
    </w:p>
    <w:tbl>
      <w:tblPr>
        <w:tblStyle w:val="TableGrid"/>
        <w:tblW w:w="11340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2430"/>
        <w:gridCol w:w="2237"/>
        <w:gridCol w:w="699"/>
        <w:gridCol w:w="754"/>
        <w:gridCol w:w="2790"/>
        <w:gridCol w:w="2430"/>
      </w:tblGrid>
      <w:tr w:rsidR="00AA62DF" w:rsidRPr="000D0704" w14:paraId="7882A323" w14:textId="77777777" w:rsidTr="001B1144">
        <w:tc>
          <w:tcPr>
            <w:tcW w:w="2430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nil"/>
              <w:right w:val="single" w:sz="6" w:space="0" w:color="8496B0" w:themeColor="text2" w:themeTint="99"/>
            </w:tcBorders>
            <w:vAlign w:val="bottom"/>
          </w:tcPr>
          <w:p w14:paraId="360BF2C7" w14:textId="0D27A705" w:rsidR="00AA62DF" w:rsidRPr="00F17C15" w:rsidRDefault="00AA62DF" w:rsidP="00AA62DF">
            <w:pPr>
              <w:spacing w:before="60" w:after="60"/>
              <w:jc w:val="center"/>
              <w:rPr>
                <w:rFonts w:ascii="Avenir Next LT Pro" w:hAnsi="Avenir Next LT Pro"/>
                <w:b/>
                <w:bCs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36D9D2E" w14:textId="1019DF90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Position, Representation Role</w:t>
            </w:r>
          </w:p>
        </w:tc>
        <w:tc>
          <w:tcPr>
            <w:tcW w:w="1453" w:type="dxa"/>
            <w:gridSpan w:val="2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1F339BDE" w14:textId="761FDD72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Voting/Non-voting</w:t>
            </w:r>
          </w:p>
        </w:tc>
        <w:tc>
          <w:tcPr>
            <w:tcW w:w="279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42DAC4A" w14:textId="77777777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Email Address</w:t>
            </w:r>
            <w:r w:rsidRPr="00AA62DF"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  <w:t xml:space="preserve"> </w:t>
            </w:r>
          </w:p>
          <w:p w14:paraId="19EF694B" w14:textId="59F0C11F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  <w:t>Or info for preferred contact method</w:t>
            </w:r>
          </w:p>
        </w:tc>
        <w:tc>
          <w:tcPr>
            <w:tcW w:w="243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0F19235E" w14:textId="47D40A1D" w:rsidR="00AA62DF" w:rsidRPr="00AA62DF" w:rsidRDefault="00AA62DF" w:rsidP="00B9312B">
            <w:pPr>
              <w:spacing w:before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 xml:space="preserve">Alternative Representative </w:t>
            </w:r>
          </w:p>
          <w:p w14:paraId="10A72D54" w14:textId="6325E9BF" w:rsidR="00AA62DF" w:rsidRPr="00AA62DF" w:rsidRDefault="00AA62DF" w:rsidP="00B9312B">
            <w:pPr>
              <w:spacing w:after="60"/>
              <w:jc w:val="center"/>
              <w:rPr>
                <w:rFonts w:ascii="Avenir Next LT Pro" w:hAnsi="Avenir Next LT Pro"/>
                <w:color w:val="44546A" w:themeColor="text2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18"/>
                <w:szCs w:val="18"/>
              </w:rPr>
              <w:t>(if applicable)</w:t>
            </w:r>
          </w:p>
        </w:tc>
      </w:tr>
      <w:tr w:rsidR="00AA62DF" w:rsidRPr="000D0704" w14:paraId="2122D35D" w14:textId="77777777" w:rsidTr="001B1144">
        <w:tc>
          <w:tcPr>
            <w:tcW w:w="2430" w:type="dxa"/>
            <w:tcBorders>
              <w:top w:val="nil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46B97BB0" w14:textId="453F2F60" w:rsidR="00AA62DF" w:rsidRPr="002C620B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16"/>
                <w:szCs w:val="16"/>
              </w:rPr>
            </w:pPr>
            <w:r w:rsidRPr="00F17C15">
              <w:rPr>
                <w:rFonts w:ascii="Avenir Next LT Pro" w:hAnsi="Avenir Next LT Pro"/>
                <w:b/>
                <w:bCs/>
                <w:color w:val="44546A" w:themeColor="text2"/>
              </w:rPr>
              <w:t>Member Name</w:t>
            </w: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54CAE015" w14:textId="75A19B72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E.g., Partner Agency Rep, Parent/Family Rep, Student Rep, Local Evaluator</w:t>
            </w: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5587EB6C" w14:textId="55ACC8A4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Voting</w:t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6037AF8" w14:textId="060CEE1F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Non-Voting</w:t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4E9140CD" w14:textId="07876A08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This is to maintain an up-to-date listserv</w:t>
            </w: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56FE7F8" w14:textId="21413285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This person will stand in/deputize for the member and assume voting privileges</w:t>
            </w:r>
          </w:p>
        </w:tc>
      </w:tr>
      <w:tr w:rsidR="004958D3" w:rsidRPr="000D0704" w14:paraId="72B554E4" w14:textId="77777777" w:rsidTr="001B1144">
        <w:tc>
          <w:tcPr>
            <w:tcW w:w="2430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0134816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  <w:bookmarkStart w:id="1" w:name="_Hlk109380967"/>
          </w:p>
        </w:tc>
        <w:tc>
          <w:tcPr>
            <w:tcW w:w="2237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EC161C4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C7062A4" w14:textId="582FD85C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BD053A7" w14:textId="20FB9FA2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225F107" w14:textId="77777777" w:rsidR="004958D3" w:rsidRPr="00425726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349C7EB2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4958D3" w:rsidRPr="000D0704" w14:paraId="1F0B10E2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186B40D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7B62F11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E60A11" w14:textId="3E8C21DB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385892" w14:textId="7027D1DB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3AAB81F" w14:textId="77777777" w:rsidR="004958D3" w:rsidRPr="00425726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27666A5C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bookmarkEnd w:id="1"/>
      <w:tr w:rsidR="00D7721A" w:rsidRPr="000D0704" w14:paraId="45FBFCFE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8899740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17C2D37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DF954F" w14:textId="179D0182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6FDB20" w14:textId="7D4F90B8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5365C41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317DE66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7EA949C1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3BC86D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8CFBDB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5A6EB08" w14:textId="706FE16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F937003" w14:textId="0F26D7F4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63D28B0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034EBCAF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4BA6E543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736D39B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60B23C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1A261DE" w14:textId="603773A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D9152B8" w14:textId="4A5C7022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B1F4B36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7A9545E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55D294CA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85DFD2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8C4E261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42DAC0F" w14:textId="5746B778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72E8900" w14:textId="4EF95EBE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F4A9EC4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5CB98FE8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43AA4752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7EBF2E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0792D03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C0BC1B" w14:textId="4FB48B4B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FD46ED" w14:textId="5C50A824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696DA52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4426F07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02C97C35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33355C1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6DABAC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15FC82A" w14:textId="1D4F5C80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8ED5A3" w14:textId="089C51CD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CA6BB03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361320A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5A380209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809B53A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77A1ECD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2FC892C" w14:textId="6FFADAE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2729A3" w14:textId="05AC7097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2752517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631C92C9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714F0AB9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7ED4973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527863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855943F" w14:textId="52CC1B3E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62516AC" w14:textId="7B3DF90E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7E37989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5CBA4752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73C75026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026279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CA94D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0BDD288" w14:textId="13887EA2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D4262A0" w14:textId="766EB9BB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6CE8F4E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D5C94DA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5C01C7FF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18A60BE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64AE5208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0E8DE43C" w14:textId="10D83392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47997C7" w14:textId="513F2C99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7C0A028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3CD09E8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</w:tbl>
    <w:p w14:paraId="6DBF1F71" w14:textId="15FCCA58" w:rsidR="00B24402" w:rsidRDefault="00B24402" w:rsidP="002E43DF">
      <w:pPr>
        <w:spacing w:after="240"/>
        <w:jc w:val="center"/>
        <w:rPr>
          <w:b/>
          <w:bCs/>
          <w:color w:val="0000CC"/>
          <w:w w:val="110"/>
          <w:sz w:val="36"/>
          <w:szCs w:val="36"/>
        </w:rPr>
      </w:pPr>
    </w:p>
    <w:p w14:paraId="1A618147" w14:textId="77777777" w:rsidR="00864EC6" w:rsidRDefault="00864EC6">
      <w:pPr>
        <w:rPr>
          <w:b/>
          <w:bCs/>
          <w:color w:val="0000CC"/>
          <w:w w:val="110"/>
          <w:sz w:val="28"/>
          <w:szCs w:val="28"/>
        </w:rPr>
      </w:pPr>
      <w:r>
        <w:rPr>
          <w:b/>
          <w:bCs/>
          <w:color w:val="0000CC"/>
          <w:w w:val="110"/>
          <w:sz w:val="28"/>
          <w:szCs w:val="28"/>
        </w:rPr>
        <w:br w:type="page"/>
      </w:r>
    </w:p>
    <w:p w14:paraId="7332E0A8" w14:textId="0A8B3AF5" w:rsidR="00522796" w:rsidRPr="0038067B" w:rsidRDefault="00522796" w:rsidP="00071F3A">
      <w:pPr>
        <w:spacing w:after="120"/>
        <w:ind w:left="360" w:right="360"/>
        <w:jc w:val="center"/>
        <w:rPr>
          <w:b/>
          <w:bCs/>
          <w:color w:val="0000CC"/>
          <w:w w:val="110"/>
          <w:sz w:val="28"/>
          <w:szCs w:val="28"/>
        </w:rPr>
      </w:pPr>
      <w:r w:rsidRPr="0038067B">
        <w:rPr>
          <w:b/>
          <w:bCs/>
          <w:color w:val="0000CC"/>
          <w:w w:val="110"/>
          <w:sz w:val="28"/>
          <w:szCs w:val="28"/>
        </w:rPr>
        <w:lastRenderedPageBreak/>
        <w:t xml:space="preserve">Purpose </w:t>
      </w:r>
      <w:r w:rsidRPr="0038067B">
        <w:rPr>
          <w:color w:val="0000CC"/>
          <w:w w:val="110"/>
          <w:sz w:val="24"/>
          <w:szCs w:val="24"/>
        </w:rPr>
        <w:t>&amp;</w:t>
      </w:r>
      <w:r w:rsidRPr="0038067B">
        <w:rPr>
          <w:b/>
          <w:bCs/>
          <w:color w:val="0000CC"/>
          <w:w w:val="110"/>
          <w:sz w:val="28"/>
          <w:szCs w:val="28"/>
        </w:rPr>
        <w:t xml:space="preserve"> Commitment</w:t>
      </w:r>
      <w:r w:rsidR="0038067B">
        <w:rPr>
          <w:b/>
          <w:bCs/>
          <w:color w:val="0000CC"/>
          <w:w w:val="110"/>
          <w:sz w:val="28"/>
          <w:szCs w:val="28"/>
        </w:rPr>
        <w:t>s</w:t>
      </w:r>
    </w:p>
    <w:p w14:paraId="0A736A33" w14:textId="0062C647" w:rsidR="007728AB" w:rsidRDefault="00522796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role of this Advisory Board is to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offer </w:t>
      </w:r>
      <w:r w:rsidR="007728AB"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leadership and guidance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program in ways that support and augment the Program Director and Program Management Teams (PMTs).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>The Board will be created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organized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>includ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>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engag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>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all partners and 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>stakeholders; it will focus proceedings on the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728AB"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shared</w:t>
      </w:r>
      <w:r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 xml:space="preserve"> </w:t>
      </w:r>
      <w:r w:rsidRPr="0052279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responsibility</w:t>
      </w: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of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serving and supporting 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community’s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youth and families. </w:t>
      </w:r>
    </w:p>
    <w:p w14:paraId="47F57073" w14:textId="7A0B0048" w:rsidR="00F23EB6" w:rsidRDefault="00F23EB6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The Board recognizes that each Member</w:t>
      </w: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has a vital role to play, and it invites each member to make consistent, helpful contributions to the work – whether that’s offering creative ideas, raising awareness of important issues that need to be explored, or recognizing and celebrating the work of others.</w:t>
      </w:r>
    </w:p>
    <w:p w14:paraId="5FFD1C10" w14:textId="4C4B2F90" w:rsidR="003A1B2E" w:rsidRDefault="003A1B2E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Members commit to </w:t>
      </w:r>
      <w:r w:rsidRPr="0052279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Full Attendance &amp; Full Presence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Pr="003A1B2E">
        <w:rPr>
          <w:rFonts w:ascii="Avenir Next LT Pro" w:eastAsia="Calibri" w:hAnsi="Avenir Next LT Pro" w:cs="Segoe UI Semilight"/>
          <w:color w:val="44546A" w:themeColor="text2"/>
          <w:lang w:bidi="en-US"/>
        </w:rPr>
        <w:t>so that the Board can function at full capacity.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This means:</w:t>
      </w:r>
    </w:p>
    <w:p w14:paraId="6E9FDEB8" w14:textId="4B0D8BB7" w:rsidR="003A1B2E" w:rsidRPr="0038067B" w:rsidRDefault="003A1B2E" w:rsidP="00071F3A">
      <w:pPr>
        <w:pStyle w:val="ListParagraph"/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spacing w:before="120" w:after="120"/>
        <w:ind w:left="1620"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Attending all scheduled meetings,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in the event of an occasional absence, </w:t>
      </w: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appointing an alternate representative to participate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 that member’s place.</w:t>
      </w: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</w:p>
    <w:p w14:paraId="26A33055" w14:textId="76F59110" w:rsidR="00522796" w:rsidRPr="00231170" w:rsidRDefault="003A1B2E" w:rsidP="00071F3A">
      <w:pPr>
        <w:pStyle w:val="ListParagraph"/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spacing w:before="120" w:after="120"/>
        <w:ind w:left="1620"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Respecting agreed upon norms for effective, respectful, equitable engagement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1DEB4825" w14:textId="22C38229" w:rsidR="006D22FE" w:rsidRPr="005A3551" w:rsidRDefault="00522796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lang w:bidi="en-US"/>
        </w:rPr>
      </w:pPr>
      <w:bookmarkStart w:id="2" w:name="_Hlk109487044"/>
      <w:r w:rsidRPr="0038067B">
        <w:rPr>
          <w:b/>
          <w:bCs/>
          <w:color w:val="0000CC"/>
          <w:w w:val="110"/>
          <w:sz w:val="28"/>
          <w:szCs w:val="28"/>
        </w:rPr>
        <w:t xml:space="preserve">Norms </w:t>
      </w:r>
      <w:r w:rsidRPr="00E74D7D">
        <w:rPr>
          <w:color w:val="0000CC"/>
          <w:w w:val="110"/>
          <w:sz w:val="24"/>
          <w:szCs w:val="24"/>
        </w:rPr>
        <w:t>for</w:t>
      </w:r>
      <w:r w:rsidRPr="0038067B">
        <w:rPr>
          <w:b/>
          <w:bCs/>
          <w:color w:val="0000CC"/>
          <w:w w:val="110"/>
          <w:sz w:val="28"/>
          <w:szCs w:val="28"/>
        </w:rPr>
        <w:t xml:space="preserve"> Engagement</w:t>
      </w:r>
      <w:r w:rsidR="0038067B"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</w:p>
    <w:bookmarkEnd w:id="2"/>
    <w:p w14:paraId="04255A4B" w14:textId="1CEFFAA0" w:rsidR="00E74D7D" w:rsidRPr="00E9033C" w:rsidRDefault="00E74D7D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Be Here Now. 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We know how busy and full members’ lives are.  Let’s all agree to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mutually respect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acknowledge each other’s efforts to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make space and time to come together to do 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this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important work.  We’re more powerful when our collective attention and energy is focused on </w:t>
      </w:r>
      <w:r w:rsidR="00C4173F" w:rsidRPr="00E9033C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connecting well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, staying aware of ourselves and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others we’re communicating with.  Phones OFF.  Eyes, ears, and minds ON.</w:t>
      </w:r>
    </w:p>
    <w:p w14:paraId="2B7CDC87" w14:textId="76EF81BF" w:rsidR="00071F3A" w:rsidRPr="00E9033C" w:rsidRDefault="00071F3A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Make Space, Take Space. </w:t>
      </w:r>
      <w:r>
        <w:rPr>
          <w:rFonts w:ascii="Avenir Next LT Pro" w:eastAsia="Calibri" w:hAnsi="Avenir Next LT Pro" w:cs="Segoe UI Semilight"/>
          <w:color w:val="0000FF"/>
          <w:lang w:bidi="en-US"/>
        </w:rPr>
        <w:t xml:space="preserve">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Make space for others’ voices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>, viewpoints,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thoughtful contributions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.  Take space when there is an opportunity for you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>r perspective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be heard. 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All 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of us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agree to </w:t>
      </w:r>
      <w:r w:rsidRPr="003D593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pass the mic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generously,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and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to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use it well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when it’s our turn to communicate our message with clarity, respect, and purpose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777023B3" w14:textId="2DAEBC0D" w:rsidR="00071F3A" w:rsidRPr="00071F3A" w:rsidRDefault="00071F3A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Problem Solve vs. Problem Admire. 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When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issues of concern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are raised, we agree to use it as an opportunity to increase awareness and to invite </w:t>
      </w:r>
      <w:r w:rsidRPr="003D593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solutions-focused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discussion.  T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his welcomes a fruitful probing of areas in need of improvement while keeping the aim on using members’ time and energy for constructive collaboration and action planning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4F9CAEF2" w14:textId="470CB257" w:rsidR="00522796" w:rsidRPr="00071F3A" w:rsidRDefault="00E74D7D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>Pause, Reflect, Open</w:t>
      </w:r>
      <w:r w:rsidR="00240BDB">
        <w:rPr>
          <w:rFonts w:ascii="Avenir Next LT Pro" w:eastAsia="Calibri" w:hAnsi="Avenir Next LT Pro" w:cs="Segoe UI Semilight"/>
          <w:color w:val="0000FF"/>
          <w:lang w:bidi="en-US"/>
        </w:rPr>
        <w:t xml:space="preserve"> (PRO)</w:t>
      </w:r>
      <w:r w:rsidR="00022726"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. 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Sometimes </w:t>
      </w:r>
      <w:r w:rsidR="007024A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during 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discussions among caring, passionate leaders 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>we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may encounter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points of disagreement</w:t>
      </w:r>
      <w:r w:rsidR="00D3524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while we’re moving toward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understanding.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We encourage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each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member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take a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2EFC" w:rsidRPr="005A3551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 xml:space="preserve">moment </w:t>
      </w:r>
      <w:r w:rsidR="005A3551" w:rsidRPr="005A3551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of mindfulness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PAUSE, c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heck in on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our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feelings and thoughts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before reacting to something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we’ve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interpret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ed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. 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REFLECT, i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nquire into assumptions,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remember 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>the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intentions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we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share with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all members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to listen deeply and connect well.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OPEN to consider new ways of receiving, perspective-taking and </w:t>
      </w:r>
      <w:r w:rsidR="00240BD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practicing </w:t>
      </w:r>
      <w:r w:rsidR="006A19F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kind, 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>constructive responding.</w:t>
      </w:r>
    </w:p>
    <w:p w14:paraId="20D6B327" w14:textId="4A18C807" w:rsidR="0038067B" w:rsidRPr="00071F3A" w:rsidRDefault="00071F3A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lang w:bidi="en-US"/>
        </w:rPr>
      </w:pPr>
      <w:r>
        <w:rPr>
          <w:b/>
          <w:bCs/>
          <w:color w:val="0000CC"/>
          <w:w w:val="110"/>
          <w:sz w:val="28"/>
          <w:szCs w:val="28"/>
        </w:rPr>
        <w:t>Decision Rules</w:t>
      </w:r>
    </w:p>
    <w:p w14:paraId="4AD2E93E" w14:textId="0AED3803" w:rsidR="00522796" w:rsidRPr="001017C6" w:rsidRDefault="0038067B" w:rsidP="001017C6">
      <w:pPr>
        <w:widowControl w:val="0"/>
        <w:tabs>
          <w:tab w:val="left" w:pos="540"/>
        </w:tabs>
        <w:autoSpaceDE w:val="0"/>
        <w:autoSpaceDN w:val="0"/>
        <w:spacing w:before="120" w:after="120"/>
        <w:ind w:left="72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Board will enact the following 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decision-making protocol whenever a motion/formal request for action is made.  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>[</w:t>
      </w:r>
      <w:r w:rsidR="006C29C7">
        <w:rPr>
          <w:rFonts w:ascii="Avenir Next LT Pro" w:eastAsia="Calibri" w:hAnsi="Avenir Next LT Pro" w:cs="Segoe UI Semilight"/>
          <w:color w:val="44546A" w:themeColor="text2"/>
          <w:lang w:bidi="en-US"/>
        </w:rPr>
        <w:t>Tip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: 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>Consider the roles for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both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voting and non-voting members</w:t>
      </w:r>
      <w:r w:rsidR="006C29C7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when submitting requests, proposing actions, suggesting items for further collaboration or discussion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>]</w:t>
      </w:r>
    </w:p>
    <w:sectPr w:rsidR="00522796" w:rsidRPr="001017C6" w:rsidSect="00231170">
      <w:headerReference w:type="default" r:id="rId9"/>
      <w:footerReference w:type="default" r:id="rId10"/>
      <w:pgSz w:w="12240" w:h="15840"/>
      <w:pgMar w:top="990" w:right="720" w:bottom="450" w:left="90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AA3F" w14:textId="77777777" w:rsidR="001D4485" w:rsidRDefault="001D4485" w:rsidP="00A47471">
      <w:pPr>
        <w:spacing w:after="0" w:line="240" w:lineRule="auto"/>
      </w:pPr>
      <w:r>
        <w:separator/>
      </w:r>
    </w:p>
  </w:endnote>
  <w:endnote w:type="continuationSeparator" w:id="0">
    <w:p w14:paraId="1FCE6EAB" w14:textId="77777777" w:rsidR="001D4485" w:rsidRDefault="001D4485" w:rsidP="00A4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51747"/>
      <w:docPartObj>
        <w:docPartGallery w:val="Page Numbers (Bottom of Page)"/>
        <w:docPartUnique/>
      </w:docPartObj>
    </w:sdtPr>
    <w:sdtEndPr/>
    <w:sdtContent>
      <w:p w14:paraId="277C9156" w14:textId="658B859C" w:rsidR="002F5D24" w:rsidRDefault="001D4485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F263" w14:textId="77777777" w:rsidR="001D4485" w:rsidRDefault="001D4485" w:rsidP="00A47471">
      <w:pPr>
        <w:spacing w:after="0" w:line="240" w:lineRule="auto"/>
      </w:pPr>
      <w:r>
        <w:separator/>
      </w:r>
    </w:p>
  </w:footnote>
  <w:footnote w:type="continuationSeparator" w:id="0">
    <w:p w14:paraId="29EC0869" w14:textId="77777777" w:rsidR="001D4485" w:rsidRDefault="001D4485" w:rsidP="00A4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C51F" w14:textId="127FCDE3" w:rsidR="00A47471" w:rsidRDefault="00A474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A33CA" wp14:editId="7427709C">
              <wp:simplePos x="0" y="0"/>
              <wp:positionH relativeFrom="column">
                <wp:posOffset>-596899</wp:posOffset>
              </wp:positionH>
              <wp:positionV relativeFrom="paragraph">
                <wp:posOffset>-222250</wp:posOffset>
              </wp:positionV>
              <wp:extent cx="857250" cy="2667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66700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73278" w14:textId="40289DAB" w:rsidR="00A47471" w:rsidRPr="00BC2811" w:rsidRDefault="00BC2811" w:rsidP="00A4747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C2811"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C0A3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7pt;margin-top:-17.5pt;width:67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" fillcolor="#00c" stroked="f" strokeweight=".5pt">
              <v:textbox>
                <w:txbxContent>
                  <w:p w14:paraId="78D73278" w14:textId="40289DAB" w:rsidR="00A47471" w:rsidRPr="00BC2811" w:rsidRDefault="00BC2811" w:rsidP="00A47471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C2811"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51"/>
    <w:multiLevelType w:val="hybridMultilevel"/>
    <w:tmpl w:val="E402E4E0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D67"/>
    <w:multiLevelType w:val="hybridMultilevel"/>
    <w:tmpl w:val="D70C89FA"/>
    <w:lvl w:ilvl="0" w:tplc="C77208BE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1354"/>
    <w:multiLevelType w:val="hybridMultilevel"/>
    <w:tmpl w:val="83549D7E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3C14"/>
    <w:multiLevelType w:val="hybridMultilevel"/>
    <w:tmpl w:val="3A02ACB6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7520"/>
    <w:multiLevelType w:val="hybridMultilevel"/>
    <w:tmpl w:val="2BC0E5D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23491"/>
    <w:multiLevelType w:val="hybridMultilevel"/>
    <w:tmpl w:val="C7163A7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3A0"/>
    <w:multiLevelType w:val="hybridMultilevel"/>
    <w:tmpl w:val="E006FC98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F75"/>
    <w:multiLevelType w:val="hybridMultilevel"/>
    <w:tmpl w:val="F63C250C"/>
    <w:lvl w:ilvl="0" w:tplc="98A09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462B"/>
    <w:multiLevelType w:val="hybridMultilevel"/>
    <w:tmpl w:val="61A2E3CE"/>
    <w:lvl w:ilvl="0" w:tplc="5F2C74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CB5BB0"/>
    <w:multiLevelType w:val="hybridMultilevel"/>
    <w:tmpl w:val="91B2BC6C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11A6"/>
    <w:multiLevelType w:val="hybridMultilevel"/>
    <w:tmpl w:val="8D2C4AB0"/>
    <w:lvl w:ilvl="0" w:tplc="0B36802A">
      <w:start w:val="1"/>
      <w:numFmt w:val="bullet"/>
      <w:lvlText w:val="}"/>
      <w:lvlJc w:val="left"/>
      <w:pPr>
        <w:ind w:left="766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CD83EC3"/>
    <w:multiLevelType w:val="hybridMultilevel"/>
    <w:tmpl w:val="034E0442"/>
    <w:lvl w:ilvl="0" w:tplc="0B36802A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0"/>
    <w:rsid w:val="000072F9"/>
    <w:rsid w:val="000147E1"/>
    <w:rsid w:val="000158AA"/>
    <w:rsid w:val="000160F3"/>
    <w:rsid w:val="00022726"/>
    <w:rsid w:val="00035DBF"/>
    <w:rsid w:val="000637DF"/>
    <w:rsid w:val="0006401F"/>
    <w:rsid w:val="00070CB9"/>
    <w:rsid w:val="00071F3A"/>
    <w:rsid w:val="0008567B"/>
    <w:rsid w:val="000A5FA0"/>
    <w:rsid w:val="000B7CEB"/>
    <w:rsid w:val="000C7A05"/>
    <w:rsid w:val="000C7B58"/>
    <w:rsid w:val="000D0704"/>
    <w:rsid w:val="000E06B0"/>
    <w:rsid w:val="000E240F"/>
    <w:rsid w:val="000F7D49"/>
    <w:rsid w:val="00100641"/>
    <w:rsid w:val="001017C6"/>
    <w:rsid w:val="00103899"/>
    <w:rsid w:val="00105A22"/>
    <w:rsid w:val="00112077"/>
    <w:rsid w:val="0011759C"/>
    <w:rsid w:val="0012733A"/>
    <w:rsid w:val="00130380"/>
    <w:rsid w:val="001377F7"/>
    <w:rsid w:val="00137997"/>
    <w:rsid w:val="001426E8"/>
    <w:rsid w:val="001457A8"/>
    <w:rsid w:val="0015002F"/>
    <w:rsid w:val="00155B8F"/>
    <w:rsid w:val="00156D63"/>
    <w:rsid w:val="001573F2"/>
    <w:rsid w:val="00161C93"/>
    <w:rsid w:val="0016214C"/>
    <w:rsid w:val="00170B05"/>
    <w:rsid w:val="00172261"/>
    <w:rsid w:val="00172D89"/>
    <w:rsid w:val="00177C43"/>
    <w:rsid w:val="00177CEA"/>
    <w:rsid w:val="001A1935"/>
    <w:rsid w:val="001A2FAC"/>
    <w:rsid w:val="001B00FD"/>
    <w:rsid w:val="001B1144"/>
    <w:rsid w:val="001B2594"/>
    <w:rsid w:val="001D4485"/>
    <w:rsid w:val="001D539B"/>
    <w:rsid w:val="001E1FCC"/>
    <w:rsid w:val="001E508B"/>
    <w:rsid w:val="002221E3"/>
    <w:rsid w:val="00227DF4"/>
    <w:rsid w:val="00231170"/>
    <w:rsid w:val="00240BDB"/>
    <w:rsid w:val="00251227"/>
    <w:rsid w:val="002527B9"/>
    <w:rsid w:val="00252D2F"/>
    <w:rsid w:val="00255605"/>
    <w:rsid w:val="00256107"/>
    <w:rsid w:val="00263743"/>
    <w:rsid w:val="00263D8D"/>
    <w:rsid w:val="002701FF"/>
    <w:rsid w:val="0027309A"/>
    <w:rsid w:val="002752E2"/>
    <w:rsid w:val="00291DF9"/>
    <w:rsid w:val="00291F16"/>
    <w:rsid w:val="00297D7D"/>
    <w:rsid w:val="002A5278"/>
    <w:rsid w:val="002B5C50"/>
    <w:rsid w:val="002C2C48"/>
    <w:rsid w:val="002C620B"/>
    <w:rsid w:val="002D20C2"/>
    <w:rsid w:val="002D758F"/>
    <w:rsid w:val="002E43DF"/>
    <w:rsid w:val="002F0432"/>
    <w:rsid w:val="002F5D24"/>
    <w:rsid w:val="00306992"/>
    <w:rsid w:val="00320359"/>
    <w:rsid w:val="00325C6F"/>
    <w:rsid w:val="00335A00"/>
    <w:rsid w:val="00340E82"/>
    <w:rsid w:val="00340F09"/>
    <w:rsid w:val="0034669D"/>
    <w:rsid w:val="00352C51"/>
    <w:rsid w:val="00352EFC"/>
    <w:rsid w:val="00353AA2"/>
    <w:rsid w:val="0035404B"/>
    <w:rsid w:val="003541A5"/>
    <w:rsid w:val="003617DA"/>
    <w:rsid w:val="00366E7E"/>
    <w:rsid w:val="003779BD"/>
    <w:rsid w:val="0038034F"/>
    <w:rsid w:val="0038067B"/>
    <w:rsid w:val="003922CC"/>
    <w:rsid w:val="00393AA6"/>
    <w:rsid w:val="00395C50"/>
    <w:rsid w:val="003A1B2E"/>
    <w:rsid w:val="003B0486"/>
    <w:rsid w:val="003B2E52"/>
    <w:rsid w:val="003B3CB2"/>
    <w:rsid w:val="003B3F9B"/>
    <w:rsid w:val="003C482B"/>
    <w:rsid w:val="003D5936"/>
    <w:rsid w:val="004059DF"/>
    <w:rsid w:val="00410EEE"/>
    <w:rsid w:val="0042162D"/>
    <w:rsid w:val="00425726"/>
    <w:rsid w:val="00431278"/>
    <w:rsid w:val="004430A1"/>
    <w:rsid w:val="00451D33"/>
    <w:rsid w:val="004555F2"/>
    <w:rsid w:val="00475804"/>
    <w:rsid w:val="004839CF"/>
    <w:rsid w:val="004958D3"/>
    <w:rsid w:val="00495A99"/>
    <w:rsid w:val="004C2189"/>
    <w:rsid w:val="004D749E"/>
    <w:rsid w:val="004E29A7"/>
    <w:rsid w:val="004F527E"/>
    <w:rsid w:val="00522796"/>
    <w:rsid w:val="00543D93"/>
    <w:rsid w:val="005504D7"/>
    <w:rsid w:val="0055214F"/>
    <w:rsid w:val="00555FA9"/>
    <w:rsid w:val="00560385"/>
    <w:rsid w:val="00561021"/>
    <w:rsid w:val="00562132"/>
    <w:rsid w:val="00562490"/>
    <w:rsid w:val="00572EFE"/>
    <w:rsid w:val="00574879"/>
    <w:rsid w:val="00577FF5"/>
    <w:rsid w:val="0058146B"/>
    <w:rsid w:val="005938C1"/>
    <w:rsid w:val="005955BE"/>
    <w:rsid w:val="005A1ACF"/>
    <w:rsid w:val="005A217C"/>
    <w:rsid w:val="005A21B9"/>
    <w:rsid w:val="005A3551"/>
    <w:rsid w:val="005B4442"/>
    <w:rsid w:val="005D29C7"/>
    <w:rsid w:val="005D3323"/>
    <w:rsid w:val="005D7651"/>
    <w:rsid w:val="00601C43"/>
    <w:rsid w:val="006049EC"/>
    <w:rsid w:val="00617089"/>
    <w:rsid w:val="00617F64"/>
    <w:rsid w:val="006230B2"/>
    <w:rsid w:val="00624175"/>
    <w:rsid w:val="00636275"/>
    <w:rsid w:val="00636FB4"/>
    <w:rsid w:val="00642E4D"/>
    <w:rsid w:val="00652394"/>
    <w:rsid w:val="0066336E"/>
    <w:rsid w:val="00670CB7"/>
    <w:rsid w:val="006A19F1"/>
    <w:rsid w:val="006A4CDC"/>
    <w:rsid w:val="006B355C"/>
    <w:rsid w:val="006C29C7"/>
    <w:rsid w:val="006C2BF0"/>
    <w:rsid w:val="006C34F0"/>
    <w:rsid w:val="006C3C6D"/>
    <w:rsid w:val="006C63ED"/>
    <w:rsid w:val="006C726F"/>
    <w:rsid w:val="006D22FE"/>
    <w:rsid w:val="006F0546"/>
    <w:rsid w:val="006F1D79"/>
    <w:rsid w:val="007024AD"/>
    <w:rsid w:val="00734142"/>
    <w:rsid w:val="007374B9"/>
    <w:rsid w:val="00741337"/>
    <w:rsid w:val="00756C9F"/>
    <w:rsid w:val="00761D1D"/>
    <w:rsid w:val="00766D98"/>
    <w:rsid w:val="007710F2"/>
    <w:rsid w:val="007728AB"/>
    <w:rsid w:val="00776BB9"/>
    <w:rsid w:val="00783A48"/>
    <w:rsid w:val="0078511D"/>
    <w:rsid w:val="00793D42"/>
    <w:rsid w:val="007978E2"/>
    <w:rsid w:val="007A4069"/>
    <w:rsid w:val="007B76DD"/>
    <w:rsid w:val="007D26C4"/>
    <w:rsid w:val="007D4467"/>
    <w:rsid w:val="007D5752"/>
    <w:rsid w:val="007D7BCB"/>
    <w:rsid w:val="007E14AB"/>
    <w:rsid w:val="007E269F"/>
    <w:rsid w:val="007E7C92"/>
    <w:rsid w:val="00816EC6"/>
    <w:rsid w:val="00822964"/>
    <w:rsid w:val="0082307E"/>
    <w:rsid w:val="0082449D"/>
    <w:rsid w:val="008245CB"/>
    <w:rsid w:val="00825EBC"/>
    <w:rsid w:val="00826FED"/>
    <w:rsid w:val="00835744"/>
    <w:rsid w:val="00864EC6"/>
    <w:rsid w:val="00875A3E"/>
    <w:rsid w:val="008767C3"/>
    <w:rsid w:val="00881037"/>
    <w:rsid w:val="00881FA9"/>
    <w:rsid w:val="00886B57"/>
    <w:rsid w:val="008976C0"/>
    <w:rsid w:val="008B4C1E"/>
    <w:rsid w:val="008C1D1B"/>
    <w:rsid w:val="008C52B9"/>
    <w:rsid w:val="008F7FB4"/>
    <w:rsid w:val="00910381"/>
    <w:rsid w:val="0091476D"/>
    <w:rsid w:val="0091546B"/>
    <w:rsid w:val="00927FB8"/>
    <w:rsid w:val="009417B2"/>
    <w:rsid w:val="0094723A"/>
    <w:rsid w:val="00954F22"/>
    <w:rsid w:val="00972178"/>
    <w:rsid w:val="0097773C"/>
    <w:rsid w:val="00996F0C"/>
    <w:rsid w:val="009B0492"/>
    <w:rsid w:val="009B51CC"/>
    <w:rsid w:val="009C300E"/>
    <w:rsid w:val="009C6211"/>
    <w:rsid w:val="009D00CD"/>
    <w:rsid w:val="009D7D0B"/>
    <w:rsid w:val="009E3653"/>
    <w:rsid w:val="00A0359B"/>
    <w:rsid w:val="00A04963"/>
    <w:rsid w:val="00A1006B"/>
    <w:rsid w:val="00A1160B"/>
    <w:rsid w:val="00A25BEE"/>
    <w:rsid w:val="00A30D44"/>
    <w:rsid w:val="00A47471"/>
    <w:rsid w:val="00A75E21"/>
    <w:rsid w:val="00AA62DF"/>
    <w:rsid w:val="00AC5F4B"/>
    <w:rsid w:val="00AC7A36"/>
    <w:rsid w:val="00AD558C"/>
    <w:rsid w:val="00AD6EE0"/>
    <w:rsid w:val="00AE7165"/>
    <w:rsid w:val="00B00FE6"/>
    <w:rsid w:val="00B1295E"/>
    <w:rsid w:val="00B135ED"/>
    <w:rsid w:val="00B24402"/>
    <w:rsid w:val="00B25B52"/>
    <w:rsid w:val="00B32632"/>
    <w:rsid w:val="00B56A19"/>
    <w:rsid w:val="00B86FF4"/>
    <w:rsid w:val="00B921ED"/>
    <w:rsid w:val="00B9312B"/>
    <w:rsid w:val="00BA03D3"/>
    <w:rsid w:val="00BA10D4"/>
    <w:rsid w:val="00BA4627"/>
    <w:rsid w:val="00BB268E"/>
    <w:rsid w:val="00BB3908"/>
    <w:rsid w:val="00BC2811"/>
    <w:rsid w:val="00BC5772"/>
    <w:rsid w:val="00BD0451"/>
    <w:rsid w:val="00BD1552"/>
    <w:rsid w:val="00BD4F9B"/>
    <w:rsid w:val="00BD6102"/>
    <w:rsid w:val="00BE0E6B"/>
    <w:rsid w:val="00BE462A"/>
    <w:rsid w:val="00C1340A"/>
    <w:rsid w:val="00C4173F"/>
    <w:rsid w:val="00C80914"/>
    <w:rsid w:val="00C82274"/>
    <w:rsid w:val="00C90ACA"/>
    <w:rsid w:val="00C93D10"/>
    <w:rsid w:val="00CA5D33"/>
    <w:rsid w:val="00CB7675"/>
    <w:rsid w:val="00CC0872"/>
    <w:rsid w:val="00CC4FBD"/>
    <w:rsid w:val="00CC751D"/>
    <w:rsid w:val="00CD1988"/>
    <w:rsid w:val="00CD1CFF"/>
    <w:rsid w:val="00CD541B"/>
    <w:rsid w:val="00CE6E1E"/>
    <w:rsid w:val="00CF422E"/>
    <w:rsid w:val="00CF5DE4"/>
    <w:rsid w:val="00D04233"/>
    <w:rsid w:val="00D12B74"/>
    <w:rsid w:val="00D30AA7"/>
    <w:rsid w:val="00D34A45"/>
    <w:rsid w:val="00D35242"/>
    <w:rsid w:val="00D45EE9"/>
    <w:rsid w:val="00D46EDB"/>
    <w:rsid w:val="00D510A4"/>
    <w:rsid w:val="00D62D0E"/>
    <w:rsid w:val="00D76C8F"/>
    <w:rsid w:val="00D7721A"/>
    <w:rsid w:val="00D803F6"/>
    <w:rsid w:val="00D86BAA"/>
    <w:rsid w:val="00D91EFF"/>
    <w:rsid w:val="00D9543B"/>
    <w:rsid w:val="00DA0220"/>
    <w:rsid w:val="00DA1D86"/>
    <w:rsid w:val="00DB020B"/>
    <w:rsid w:val="00DB1D19"/>
    <w:rsid w:val="00DB5B2E"/>
    <w:rsid w:val="00DD23C4"/>
    <w:rsid w:val="00DF2D9D"/>
    <w:rsid w:val="00DF55C6"/>
    <w:rsid w:val="00E02AD2"/>
    <w:rsid w:val="00E03090"/>
    <w:rsid w:val="00E1343C"/>
    <w:rsid w:val="00E13705"/>
    <w:rsid w:val="00E14820"/>
    <w:rsid w:val="00E2397B"/>
    <w:rsid w:val="00E24F59"/>
    <w:rsid w:val="00E41047"/>
    <w:rsid w:val="00E45D88"/>
    <w:rsid w:val="00E5058C"/>
    <w:rsid w:val="00E625D7"/>
    <w:rsid w:val="00E65408"/>
    <w:rsid w:val="00E6777F"/>
    <w:rsid w:val="00E72F1F"/>
    <w:rsid w:val="00E74D7D"/>
    <w:rsid w:val="00E75327"/>
    <w:rsid w:val="00E9033C"/>
    <w:rsid w:val="00EA09B9"/>
    <w:rsid w:val="00F1275E"/>
    <w:rsid w:val="00F1285F"/>
    <w:rsid w:val="00F13C8A"/>
    <w:rsid w:val="00F165AD"/>
    <w:rsid w:val="00F17C15"/>
    <w:rsid w:val="00F23EB6"/>
    <w:rsid w:val="00F24DF9"/>
    <w:rsid w:val="00F274A6"/>
    <w:rsid w:val="00F34868"/>
    <w:rsid w:val="00F630A4"/>
    <w:rsid w:val="00F63DDC"/>
    <w:rsid w:val="00F742BD"/>
    <w:rsid w:val="00F75942"/>
    <w:rsid w:val="00FA3C36"/>
    <w:rsid w:val="00FA430B"/>
    <w:rsid w:val="00FA4751"/>
    <w:rsid w:val="00FD0B90"/>
    <w:rsid w:val="00FF294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28CE4"/>
  <w15:docId w15:val="{4E179445-44C5-42AC-B593-1DEC7F5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71"/>
  </w:style>
  <w:style w:type="paragraph" w:styleId="Footer">
    <w:name w:val="footer"/>
    <w:basedOn w:val="Normal"/>
    <w:link w:val="Foot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71"/>
  </w:style>
  <w:style w:type="character" w:styleId="CommentReference">
    <w:name w:val="annotation reference"/>
    <w:basedOn w:val="DefaultParagraphFont"/>
    <w:uiPriority w:val="99"/>
    <w:semiHidden/>
    <w:unhideWhenUsed/>
    <w:rsid w:val="001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ls Fave">
      <a:dk1>
        <a:sysClr val="windowText" lastClr="000000"/>
      </a:dk1>
      <a:lt1>
        <a:srgbClr val="595959"/>
      </a:lt1>
      <a:dk2>
        <a:srgbClr val="44546A"/>
      </a:dk2>
      <a:lt2>
        <a:srgbClr val="E7E6E6"/>
      </a:lt2>
      <a:accent1>
        <a:srgbClr val="0000C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scStud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25A2-3465-4917-A177-46695C4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Advisory Board Roster, Schedule, and Norms</vt:lpstr>
    </vt:vector>
  </TitlesOfParts>
  <Company>NYSED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Advisory Board Roster, Schedule, and Norms</dc:title>
  <dc:creator>NYS Education Department</dc:creator>
  <cp:lastModifiedBy>Rachel Parsons</cp:lastModifiedBy>
  <cp:revision>2</cp:revision>
  <dcterms:created xsi:type="dcterms:W3CDTF">2024-07-09T19:14:00Z</dcterms:created>
  <dcterms:modified xsi:type="dcterms:W3CDTF">2024-07-09T19:14:00Z</dcterms:modified>
</cp:coreProperties>
</file>